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d a t k e z e l é s i   t á j é k o z t a t ó</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é s </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 o z z á j á r u l ó   n y i l a t k o z a t</w:t>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Az adatkezelőnek és képviselőjének neve és elérhetőségei</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008">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Név: Magyar Kereskedelmi és Iparkamara (MKIK)</w:t>
      </w:r>
    </w:p>
    <w:p w:rsidR="00000000" w:rsidDel="00000000" w:rsidP="00000000" w:rsidRDefault="00000000" w:rsidRPr="00000000" w14:paraId="00000009">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Székhely: 1054 Budapest, Szabadság tér 7.</w:t>
      </w:r>
    </w:p>
    <w:p w:rsidR="00000000" w:rsidDel="00000000" w:rsidP="00000000" w:rsidRDefault="00000000" w:rsidRPr="00000000" w14:paraId="0000000A">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Nyilvántartási szám: 01-03-0000006 </w:t>
      </w:r>
    </w:p>
    <w:p w:rsidR="00000000" w:rsidDel="00000000" w:rsidP="00000000" w:rsidRDefault="00000000" w:rsidRPr="00000000" w14:paraId="0000000B">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A bejegyző bíróság megnevezése: Fővárosi Törvényszék</w:t>
      </w:r>
    </w:p>
    <w:p w:rsidR="00000000" w:rsidDel="00000000" w:rsidP="00000000" w:rsidRDefault="00000000" w:rsidRPr="00000000" w14:paraId="0000000C">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Képviseli: Dr. Parragh László - elnök; Dunai Péter - főtitkár</w:t>
      </w:r>
    </w:p>
    <w:p w:rsidR="00000000" w:rsidDel="00000000" w:rsidP="00000000" w:rsidRDefault="00000000" w:rsidRPr="00000000" w14:paraId="0000000D">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Adószám: 18068265-2-41</w:t>
      </w:r>
    </w:p>
    <w:p w:rsidR="00000000" w:rsidDel="00000000" w:rsidP="00000000" w:rsidRDefault="00000000" w:rsidRPr="00000000" w14:paraId="0000000E">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Telefonszám: +36-1-474-5100</w:t>
      </w:r>
    </w:p>
    <w:p w:rsidR="00000000" w:rsidDel="00000000" w:rsidP="00000000" w:rsidRDefault="00000000" w:rsidRPr="00000000" w14:paraId="0000000F">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E-mail: mkik@mkik.hu</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Az adatvédelmi tisztviselő elérhetőségei:</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Név: dr. Tóta Krisztián - jogtanácsos</w:t>
      </w:r>
    </w:p>
    <w:p w:rsidR="00000000" w:rsidDel="00000000" w:rsidP="00000000" w:rsidRDefault="00000000" w:rsidRPr="00000000" w14:paraId="00000014">
      <w:pPr>
        <w:ind w:firstLine="284"/>
        <w:jc w:val="both"/>
        <w:rPr>
          <w:rFonts w:ascii="Calibri" w:cs="Calibri" w:eastAsia="Calibri" w:hAnsi="Calibri"/>
        </w:rPr>
      </w:pPr>
      <w:r w:rsidDel="00000000" w:rsidR="00000000" w:rsidRPr="00000000">
        <w:rPr>
          <w:rFonts w:ascii="Calibri" w:cs="Calibri" w:eastAsia="Calibri" w:hAnsi="Calibri"/>
          <w:rtl w:val="0"/>
        </w:rPr>
        <w:t xml:space="preserve">-</w:t>
        <w:tab/>
        <w:t xml:space="preserve">Telefonszám: +36-1-474-5194</w:t>
      </w:r>
    </w:p>
    <w:p w:rsidR="00000000" w:rsidDel="00000000" w:rsidP="00000000" w:rsidRDefault="00000000" w:rsidRPr="00000000" w14:paraId="00000015">
      <w:pPr>
        <w:ind w:firstLine="284"/>
        <w:jc w:val="both"/>
        <w:rPr>
          <w:rFonts w:ascii="Calibri" w:cs="Calibri" w:eastAsia="Calibri" w:hAnsi="Calibri"/>
          <w:color w:val="0000ff"/>
          <w:u w:val="single"/>
        </w:rPr>
      </w:pPr>
      <w:r w:rsidDel="00000000" w:rsidR="00000000" w:rsidRPr="00000000">
        <w:rPr>
          <w:rFonts w:ascii="Calibri" w:cs="Calibri" w:eastAsia="Calibri" w:hAnsi="Calibri"/>
          <w:rtl w:val="0"/>
        </w:rPr>
        <w:t xml:space="preserve">-</w:t>
        <w:tab/>
        <w:t xml:space="preserve">E-mail: </w:t>
      </w:r>
      <w:hyperlink r:id="rId6">
        <w:r w:rsidDel="00000000" w:rsidR="00000000" w:rsidRPr="00000000">
          <w:rPr>
            <w:rFonts w:ascii="Calibri" w:cs="Calibri" w:eastAsia="Calibri" w:hAnsi="Calibri"/>
            <w:color w:val="0000ff"/>
            <w:u w:val="single"/>
            <w:rtl w:val="0"/>
          </w:rPr>
          <w:t xml:space="preserve">dpo@mkik.hu</w:t>
        </w:r>
      </w:hyperlink>
      <w:r w:rsidDel="00000000" w:rsidR="00000000" w:rsidRPr="00000000">
        <w:rPr>
          <w:rtl w:val="0"/>
        </w:rPr>
      </w:r>
    </w:p>
    <w:p w:rsidR="00000000" w:rsidDel="00000000" w:rsidP="00000000" w:rsidRDefault="00000000" w:rsidRPr="00000000" w14:paraId="00000016">
      <w:pPr>
        <w:ind w:firstLine="284"/>
        <w:jc w:val="both"/>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rPr>
      </w:pPr>
      <w:r w:rsidDel="00000000" w:rsidR="00000000" w:rsidRPr="00000000">
        <w:rPr>
          <w:rFonts w:ascii="Calibri" w:cs="Calibri" w:eastAsia="Calibri" w:hAnsi="Calibri"/>
          <w:b w:val="1"/>
          <w:rtl w:val="0"/>
        </w:rPr>
        <w:t xml:space="preserve">3. </w:t>
        <w:tab/>
        <w:t xml:space="preserve">A személyes adatok kezelésének célja:</w:t>
      </w:r>
    </w:p>
    <w:p w:rsidR="00000000" w:rsidDel="00000000" w:rsidP="00000000" w:rsidRDefault="00000000" w:rsidRPr="00000000" w14:paraId="000000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Az MKIK feladatai közé tartozik Magyarország külgazdasági kapcsolatainak fejlesztése, a magyar vállalkozások külkereskedelmi kapcsolatainak előmozdítása, az export és a gazdasági együttműködés ösztönzése, kapcsolattartás a partnerország országos és területi kereskedelmi és iparkamaráival, valamint a partnerországban működő magyar külképviselettel és kereskedelemfejlesztési intézményekkel.</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Mindezekkel összefüggésben szükséges az MKIK szervezésében történő üzleti delegációk kiutazása előkészítéséhez a kiutazó gazdálkodó szervezetet képviselő személy személyes adatainak kezelése annak érdekében, hogy a fogadó országbeli szervezők (minisztérium, kamara, nagykövetség) megfelelő üzleti partnert tudjanak számára találni az üzletember-találkozóra.</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 kezelt személyes adatok:</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a kiutazó képviselő, résztvevő(k) neve, beosztása, telefonszáma, mobil-telefonszáma, e-mail címe, beszélt nyelv(ek) </w:t>
      </w:r>
    </w:p>
    <w:p w:rsidR="00000000" w:rsidDel="00000000" w:rsidP="00000000" w:rsidRDefault="00000000" w:rsidRPr="00000000" w14:paraId="00000020">
      <w:pPr>
        <w:ind w:left="284"/>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 adatkezelés jogalapja:</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Az MKIK kapcsolatot tart a külföldi gazdasági kamarák országos szervezeteivel és gazdasági jellegű nemzetközi szervezetekkel [a gazdasági kamarákról szóló 1999. évi CXXI. törvény (a továbbiakban: Gktv.) 12. § (1) bekezdés b) pont].</w:t>
      </w:r>
    </w:p>
    <w:p w:rsidR="00000000" w:rsidDel="00000000" w:rsidP="00000000" w:rsidRDefault="00000000" w:rsidRPr="00000000" w14:paraId="00000024">
      <w:pPr>
        <w:ind w:left="284"/>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Az MKIK összehangolja a gazdasági kamarák külföldön végzett vagy külföldre irányuló, továbbá a külföldiek számára belföldön végzett gazdasági tájékoztató és propagandamunkáját [Gktv. 12. § (1) bekezdés c) pont].</w:t>
      </w:r>
    </w:p>
    <w:p w:rsidR="00000000" w:rsidDel="00000000" w:rsidP="00000000" w:rsidRDefault="00000000" w:rsidRPr="00000000" w14:paraId="00000026">
      <w:pPr>
        <w:ind w:left="284"/>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Az MKIK közreműködik a külkereskedelem fejlesztésében, részt vesz a külkereskedelem fellendítését elősegítő gazdálkodó szervezetek rendszerének kialakításában és működtetésében [Gktv. 12. § (1) bekezdés j) pont].</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A Gktv. a gazdasági kamarák számára - a gazdaság fejlesztésével összefüggésben - biztosítja a lehetőséget, hogy a külgazdaság feltételrendszerének javítása érdekében közreműködjenek a kereskedelemfejlesztéssel, a külföldön végzett vagy külföldre irányuló, továbbá a külföldiek számára belföldön végzett gazdasági tájékoztató és propagandamunkában, a gazdálkodó szervezetek ez irányú tevékenységét összehangolják, ennek keretében vásárokat, kiállításokat, konferenciákat és más rendezvényeket szervezzenek [Gktv. 9/A. § (1) bekezdés a) pont].</w:t>
      </w:r>
    </w:p>
    <w:p w:rsidR="00000000" w:rsidDel="00000000" w:rsidP="00000000" w:rsidRDefault="00000000" w:rsidRPr="00000000" w14:paraId="0000002A">
      <w:pPr>
        <w:ind w:left="284"/>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Az Európai Parlament és a Tanács (EU) 2016/679. számú (2016. április 27.), a természetes személyeknek a személyes adatok kezelése tekintetében történő védelméről és az ilyen adatok szabad áramlásáról, valamint a 95/46/EK rendelet hatályon kívül helyezéséről szóló rendelete (általános adatvédelmi rendelet; a továbbiakban: GDPR) 6. cikk (1) bekezdés  a) pontja értelmében a személyes adatok kezelése jogszerű, ha az érintett hozzájárulását adta a személyes adatainak egy vagy több konkrét célból történő kezeléséhez.</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személyes adatok kezelésének címzettjei:</w:t>
      </w:r>
    </w:p>
    <w:p w:rsidR="00000000" w:rsidDel="00000000" w:rsidP="00000000" w:rsidRDefault="00000000" w:rsidRPr="00000000" w14:paraId="0000002E">
      <w:pPr>
        <w:tabs>
          <w:tab w:val="left" w:pos="284"/>
        </w:tabs>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F">
      <w:pPr>
        <w:tabs>
          <w:tab w:val="left" w:pos="284"/>
        </w:tabs>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Az MKIK Nemzetközi Igazgatóságának, Gazdasági Igazgatóságának, Főtitkárságának, továbbá a Katari Kereskedelmi és Iparkamara (Qatar Chamber of Commerce and Industry), a Katari Üzletember Szövetség (Qatar Businessmen Association), a Qatari Fejlesztési Bank (Qatar Development Bank), Katari Pénzügyi Központ (Qatar Financial Center), Magyarország Dohai Nagykövetsége, </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valamint Qatar Airways Iroda és a B2SKY Utazási Iroda a delegáció kiutazása megszervezésével összefüggő feladatot ellátó vezetői, valamint munkatársai a feladataik elvégzéséhez szükséges mértékben.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személyes adatok kezelésének időtartama:</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A személyes adatok kezelése a cég jelentkezésének beérkezésével kezdődik és két évig tart a kiutazás megfelelő utánkövetésének biztosítása érdekében. </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7" w:right="0" w:hanging="2847"/>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 érintett jogai:</w:t>
      </w:r>
    </w:p>
    <w:p w:rsidR="00000000" w:rsidDel="00000000" w:rsidP="00000000" w:rsidRDefault="00000000" w:rsidRPr="00000000" w14:paraId="00000036">
      <w:pPr>
        <w:tabs>
          <w:tab w:val="left" w:pos="284"/>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tabs>
          <w:tab w:val="left" w:pos="284"/>
        </w:tabs>
        <w:jc w:val="both"/>
        <w:rPr>
          <w:rFonts w:ascii="Calibri" w:cs="Calibri" w:eastAsia="Calibri" w:hAnsi="Calibri"/>
        </w:rPr>
      </w:pPr>
      <w:r w:rsidDel="00000000" w:rsidR="00000000" w:rsidRPr="00000000">
        <w:rPr>
          <w:rFonts w:ascii="Calibri" w:cs="Calibri" w:eastAsia="Calibri" w:hAnsi="Calibri"/>
          <w:rtl w:val="0"/>
        </w:rPr>
        <w:t xml:space="preserve">Az érintett a GDPR-ban foglaltak szerint kérelmezheti az adatkezelőtől a rá vonatkozó személyes adatokhoz való hozzáférést (GDPR 15. cikk), azok helyesbítését (GDPR 16. cikk), törlését (GDPR 17. cikk), kezelésüknek korlátozását (GDPR 18. cikk), megilleti a tiltakozáshoz való jog (GDPR 21. cikk), továbbá az adathordozhatósághoz való jog (GDPR 20. cikk).</w:t>
      </w:r>
    </w:p>
    <w:p w:rsidR="00000000" w:rsidDel="00000000" w:rsidP="00000000" w:rsidRDefault="00000000" w:rsidRPr="00000000" w14:paraId="00000038">
      <w:pPr>
        <w:tabs>
          <w:tab w:val="left" w:pos="284"/>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panasz benyújtásának joga: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tabs>
          <w:tab w:val="left" w:pos="284"/>
        </w:tabs>
        <w:jc w:val="both"/>
        <w:rPr>
          <w:rFonts w:ascii="Calibri" w:cs="Calibri" w:eastAsia="Calibri" w:hAnsi="Calibri"/>
        </w:rPr>
      </w:pPr>
      <w:r w:rsidDel="00000000" w:rsidR="00000000" w:rsidRPr="00000000">
        <w:rPr>
          <w:rFonts w:ascii="Calibri" w:cs="Calibri" w:eastAsia="Calibri" w:hAnsi="Calibri"/>
          <w:rtl w:val="0"/>
        </w:rPr>
        <w:t xml:space="preserve">Az érintett a személyes adatainak kezelésével kapcsolatban bekövetkezett jogsérelem, esetén a felügyeleti hatóságnál panaszt nyújthat be.</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A felügyeleti hatóság neve és elérhetőségei:</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Név: Nemzeti Adatvédelmi- és Információszabadság Hatóság</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Székhely: 1125 Budapest, Szilágyi Erzsébet fasor 22/C.</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Telefon: +36-1-391-1400</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ugyfelszolgalat@naih.hu</w:t>
        </w:r>
      </w:hyperlink>
      <w:r w:rsidDel="00000000" w:rsidR="00000000" w:rsidRPr="00000000">
        <w:rPr>
          <w:rtl w:val="0"/>
        </w:rPr>
      </w:r>
    </w:p>
    <w:p w:rsidR="00000000" w:rsidDel="00000000" w:rsidP="00000000" w:rsidRDefault="00000000" w:rsidRPr="00000000" w14:paraId="00000042">
      <w:pPr>
        <w:tabs>
          <w:tab w:val="left" w:pos="284"/>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tabs>
          <w:tab w:val="left" w:pos="284"/>
        </w:tabs>
        <w:jc w:val="both"/>
        <w:rPr>
          <w:rFonts w:ascii="Calibri" w:cs="Calibri" w:eastAsia="Calibri" w:hAnsi="Calibri"/>
        </w:rPr>
      </w:pPr>
      <w:r w:rsidDel="00000000" w:rsidR="00000000" w:rsidRPr="00000000">
        <w:rPr>
          <w:rFonts w:ascii="Calibri" w:cs="Calibri" w:eastAsia="Calibri" w:hAnsi="Calibri"/>
          <w:rtl w:val="0"/>
        </w:rPr>
        <w:t xml:space="preserve">A panasztételhez való jog sérelme nélkül az érintett a jogainak megsértése esetén bírósághoz fordulhat. A per elbírálása a törvényszék hatáskörébe tartozik. A per – az érintett választása szerint – az érintett lakóhelye vagy tartózkodási helye szerinti törvényszék előtt is megindítható.</w:t>
      </w:r>
    </w:p>
    <w:p w:rsidR="00000000" w:rsidDel="00000000" w:rsidP="00000000" w:rsidRDefault="00000000" w:rsidRPr="00000000" w14:paraId="00000044">
      <w:pPr>
        <w:tabs>
          <w:tab w:val="left" w:pos="284"/>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 adatszolgáltatás elmaradásának jogkövetkezményei: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Az adatszolgáltatás elmaradásának lehetséges jogkövetkezménye az MKIK szervezésében történő üzleti delegáció kiutazása előkészítésének megnehezülése, ellehetetlenülése.  </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Adattovábbítás harmadik országba vagy nemzetközi szervezet részére: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A személyes adatok továbbítása a következő harmadik országba vagy nemzetközi szervezet részére történik: Katar</w:t>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Az MKIK az említett harmadik országba tervezett adattovábbításból eredő – a GDPR 45. cikke szerinti megfelelőségi határozat, illetőleg a GDPR 46. cikke szerinti, megfelelő garanciák alapján történő adattovábbítás hiányából fakadó – esetleges kockázatokról a következő tájékoztatást adja:</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Az MKIK tájékoztatja az érintettet, hogy a jelen tájékoztatóban hivatkozott üzleti delegáció szervezése érdekében az MKIK részére a jelentkezési lapon, valamint a cégprofilban megadott személyes adatoknak Kínába történő továbbítását követően nem biztosított az, hogy a katari partnerek általi személyes adatkezelés minden szempontból megfelel(tethet)ő a GDPR-ban az érintett személyes adatai számára biztosított védelmi szintnek.</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tabs>
          <w:tab w:val="center" w:pos="7088"/>
        </w:tabs>
        <w:jc w:val="both"/>
        <w:rPr>
          <w:rFonts w:ascii="Calibri" w:cs="Calibri" w:eastAsia="Calibri" w:hAnsi="Calibri"/>
        </w:rPr>
      </w:pPr>
      <w:r w:rsidDel="00000000" w:rsidR="00000000" w:rsidRPr="00000000">
        <w:rPr>
          <w:rFonts w:ascii="Calibri" w:cs="Calibri" w:eastAsia="Calibri" w:hAnsi="Calibri"/>
          <w:rtl w:val="0"/>
        </w:rPr>
        <w:t xml:space="preserve">A jelen adatkezelési tájékoztatásban és nyilatkozatban foglaltakat megismertem és tudomásul vettem, és kifejezetten hozzájárulok abban felsorolt (az üzleti delegáció jelentkezési lapján, valamint az üzleti delegáció szervezéséhez készített cégprofilban megadott) személyes adataim kezeléséhez.</w:t>
      </w:r>
    </w:p>
    <w:p w:rsidR="00000000" w:rsidDel="00000000" w:rsidP="00000000" w:rsidRDefault="00000000" w:rsidRPr="00000000" w14:paraId="00000052">
      <w:pPr>
        <w:tabs>
          <w:tab w:val="center" w:pos="7088"/>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tabs>
          <w:tab w:val="center" w:pos="7088"/>
        </w:tabs>
        <w:jc w:val="both"/>
        <w:rPr>
          <w:rFonts w:ascii="Calibri" w:cs="Calibri" w:eastAsia="Calibri" w:hAnsi="Calibri"/>
        </w:rPr>
      </w:pPr>
      <w:r w:rsidDel="00000000" w:rsidR="00000000" w:rsidRPr="00000000">
        <w:rPr>
          <w:rFonts w:ascii="Calibri" w:cs="Calibri" w:eastAsia="Calibri" w:hAnsi="Calibri"/>
          <w:rtl w:val="0"/>
        </w:rPr>
        <w:t xml:space="preserve">………………………………… (hely), 2019. ……… (hónap) ….. (nap)</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480" w:lineRule="auto"/>
        <w:ind w:left="2124" w:firstLine="707.9999999999998"/>
        <w:rPr>
          <w:rFonts w:ascii="Calibri" w:cs="Calibri" w:eastAsia="Calibri" w:hAnsi="Calibri"/>
        </w:rPr>
      </w:pPr>
      <w:r w:rsidDel="00000000" w:rsidR="00000000" w:rsidRPr="00000000">
        <w:rPr>
          <w:rFonts w:ascii="Calibri" w:cs="Calibri" w:eastAsia="Calibri" w:hAnsi="Calibri"/>
          <w:rtl w:val="0"/>
        </w:rPr>
        <w:t xml:space="preserve">aláírás: ………………………………………………………………………………….…..</w:t>
      </w:r>
    </w:p>
    <w:p w:rsidR="00000000" w:rsidDel="00000000" w:rsidP="00000000" w:rsidRDefault="00000000" w:rsidRPr="00000000" w14:paraId="00000056">
      <w:pPr>
        <w:spacing w:line="480" w:lineRule="auto"/>
        <w:jc w:val="both"/>
        <w:rPr>
          <w:rFonts w:ascii="Calibri" w:cs="Calibri" w:eastAsia="Calibri" w:hAnsi="Calibri"/>
        </w:rPr>
      </w:pPr>
      <w:r w:rsidDel="00000000" w:rsidR="00000000" w:rsidRPr="00000000">
        <w:rPr>
          <w:rFonts w:ascii="Calibri" w:cs="Calibri" w:eastAsia="Calibri" w:hAnsi="Calibri"/>
          <w:rtl w:val="0"/>
        </w:rPr>
        <w:tab/>
        <w:tab/>
        <w:tab/>
        <w:tab/>
        <w:t xml:space="preserve">név nyomtatottan: …………………………………………………………………….</w:t>
      </w:r>
    </w:p>
    <w:p w:rsidR="00000000" w:rsidDel="00000000" w:rsidP="00000000" w:rsidRDefault="00000000" w:rsidRPr="00000000" w14:paraId="00000057">
      <w:pPr>
        <w:spacing w:line="480" w:lineRule="auto"/>
        <w:ind w:left="2124" w:firstLine="707.9999999999998"/>
        <w:jc w:val="both"/>
        <w:rPr>
          <w:rFonts w:ascii="Calibri" w:cs="Calibri" w:eastAsia="Calibri" w:hAnsi="Calibri"/>
        </w:rPr>
      </w:pPr>
      <w:r w:rsidDel="00000000" w:rsidR="00000000" w:rsidRPr="00000000">
        <w:rPr>
          <w:rFonts w:ascii="Calibri" w:cs="Calibri" w:eastAsia="Calibri" w:hAnsi="Calibri"/>
          <w:rtl w:val="0"/>
        </w:rPr>
        <w:t xml:space="preserve">a …………………………..……………………………………. nevű cég delegáltja </w:t>
      </w:r>
    </w:p>
    <w:sectPr>
      <w:headerReference r:id="rId8" w:type="default"/>
      <w:pgSz w:h="16838" w:w="11906"/>
      <w:pgMar w:bottom="851"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2847" w:hanging="360"/>
      </w:pPr>
      <w:rPr>
        <w:b w:val="1"/>
      </w:rPr>
    </w:lvl>
    <w:lvl w:ilvl="1">
      <w:start w:val="1"/>
      <w:numFmt w:val="lowerLetter"/>
      <w:lvlText w:val="%2."/>
      <w:lvlJc w:val="left"/>
      <w:pPr>
        <w:ind w:left="3567" w:hanging="360"/>
      </w:pPr>
      <w:rPr/>
    </w:lvl>
    <w:lvl w:ilvl="2">
      <w:start w:val="1"/>
      <w:numFmt w:val="lowerRoman"/>
      <w:lvlText w:val="%3."/>
      <w:lvlJc w:val="right"/>
      <w:pPr>
        <w:ind w:left="4287" w:hanging="180"/>
      </w:pPr>
      <w:rPr/>
    </w:lvl>
    <w:lvl w:ilvl="3">
      <w:start w:val="1"/>
      <w:numFmt w:val="decimal"/>
      <w:lvlText w:val="%4."/>
      <w:lvlJc w:val="left"/>
      <w:pPr>
        <w:ind w:left="5007" w:hanging="360"/>
      </w:pPr>
      <w:rPr/>
    </w:lvl>
    <w:lvl w:ilvl="4">
      <w:start w:val="1"/>
      <w:numFmt w:val="lowerLetter"/>
      <w:lvlText w:val="%5."/>
      <w:lvlJc w:val="left"/>
      <w:pPr>
        <w:ind w:left="5727" w:hanging="360"/>
      </w:pPr>
      <w:rPr/>
    </w:lvl>
    <w:lvl w:ilvl="5">
      <w:start w:val="1"/>
      <w:numFmt w:val="lowerRoman"/>
      <w:lvlText w:val="%6."/>
      <w:lvlJc w:val="right"/>
      <w:pPr>
        <w:ind w:left="6447" w:hanging="180"/>
      </w:pPr>
      <w:rPr/>
    </w:lvl>
    <w:lvl w:ilvl="6">
      <w:start w:val="1"/>
      <w:numFmt w:val="decimal"/>
      <w:lvlText w:val="%7."/>
      <w:lvlJc w:val="left"/>
      <w:pPr>
        <w:ind w:left="7167" w:hanging="360"/>
      </w:pPr>
      <w:rPr/>
    </w:lvl>
    <w:lvl w:ilvl="7">
      <w:start w:val="1"/>
      <w:numFmt w:val="lowerLetter"/>
      <w:lvlText w:val="%8."/>
      <w:lvlJc w:val="left"/>
      <w:pPr>
        <w:ind w:left="7887" w:hanging="360"/>
      </w:pPr>
      <w:rPr/>
    </w:lvl>
    <w:lvl w:ilvl="8">
      <w:start w:val="1"/>
      <w:numFmt w:val="lowerRoman"/>
      <w:lvlText w:val="%9."/>
      <w:lvlJc w:val="right"/>
      <w:pPr>
        <w:ind w:left="8607" w:hanging="180"/>
      </w:pPr>
      <w:rPr/>
    </w:lvl>
  </w:abstractNum>
  <w:abstractNum w:abstractNumId="2">
    <w:lvl w:ilvl="0">
      <w:start w:val="4"/>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u-H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po@mkik.hu" TargetMode="External"/><Relationship Id="rId7" Type="http://schemas.openxmlformats.org/officeDocument/2006/relationships/hyperlink" Target="mailto:ugyfelszolgalat@naih.h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